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8C" w:rsidRDefault="00E1518C" w:rsidP="00E1518C">
      <w:pPr>
        <w:pStyle w:val="NormalWeb"/>
        <w:shd w:val="clear" w:color="auto" w:fill="FFFFFF"/>
        <w:spacing w:before="0" w:beforeAutospacing="0" w:after="15" w:afterAutospacing="0" w:line="300" w:lineRule="atLeast"/>
        <w:rPr>
          <w:rFonts w:ascii="Arial" w:hAnsi="Arial" w:cs="Arial"/>
          <w:color w:val="172938"/>
          <w:sz w:val="23"/>
          <w:szCs w:val="23"/>
        </w:rPr>
      </w:pPr>
      <w:r>
        <w:rPr>
          <w:rFonts w:ascii="Arial" w:hAnsi="Arial" w:cs="Arial"/>
          <w:b/>
          <w:bCs/>
          <w:color w:val="172938"/>
          <w:sz w:val="23"/>
          <w:szCs w:val="23"/>
        </w:rPr>
        <w:t>Área:</w:t>
      </w:r>
      <w:r>
        <w:rPr>
          <w:rStyle w:val="apple-converted-space"/>
          <w:rFonts w:ascii="Arial" w:hAnsi="Arial" w:cs="Arial"/>
          <w:b/>
          <w:bCs/>
          <w:color w:val="172938"/>
          <w:sz w:val="23"/>
          <w:szCs w:val="23"/>
        </w:rPr>
        <w:t> </w:t>
      </w:r>
      <w:r>
        <w:rPr>
          <w:rFonts w:ascii="Arial" w:hAnsi="Arial" w:cs="Arial"/>
          <w:color w:val="172938"/>
          <w:sz w:val="23"/>
          <w:szCs w:val="23"/>
        </w:rPr>
        <w:t>GGMON</w:t>
      </w:r>
    </w:p>
    <w:p w:rsidR="00E1518C" w:rsidRDefault="00E1518C" w:rsidP="00E1518C">
      <w:pPr>
        <w:pStyle w:val="NormalWeb"/>
        <w:shd w:val="clear" w:color="auto" w:fill="FFFFFF"/>
        <w:spacing w:before="0" w:beforeAutospacing="0" w:after="15" w:afterAutospacing="0" w:line="300" w:lineRule="atLeast"/>
        <w:rPr>
          <w:rFonts w:ascii="Arial" w:hAnsi="Arial" w:cs="Arial"/>
          <w:color w:val="172938"/>
          <w:sz w:val="23"/>
          <w:szCs w:val="23"/>
        </w:rPr>
      </w:pPr>
      <w:r>
        <w:rPr>
          <w:rFonts w:ascii="Arial" w:hAnsi="Arial" w:cs="Arial"/>
          <w:b/>
          <w:bCs/>
          <w:color w:val="172938"/>
          <w:sz w:val="23"/>
          <w:szCs w:val="23"/>
        </w:rPr>
        <w:t>Número:</w:t>
      </w:r>
      <w:r>
        <w:rPr>
          <w:rStyle w:val="apple-converted-space"/>
          <w:rFonts w:ascii="Arial" w:hAnsi="Arial" w:cs="Arial"/>
          <w:b/>
          <w:bCs/>
          <w:color w:val="172938"/>
          <w:sz w:val="23"/>
          <w:szCs w:val="23"/>
        </w:rPr>
        <w:t> </w:t>
      </w:r>
      <w:r>
        <w:rPr>
          <w:rFonts w:ascii="Arial" w:hAnsi="Arial" w:cs="Arial"/>
          <w:color w:val="172938"/>
          <w:sz w:val="23"/>
          <w:szCs w:val="23"/>
        </w:rPr>
        <w:t>52016</w:t>
      </w:r>
    </w:p>
    <w:p w:rsidR="00E1518C" w:rsidRDefault="00E1518C" w:rsidP="00E1518C">
      <w:pPr>
        <w:pStyle w:val="NormalWeb"/>
        <w:shd w:val="clear" w:color="auto" w:fill="FFFFFF"/>
        <w:spacing w:before="0" w:beforeAutospacing="0" w:after="15" w:afterAutospacing="0" w:line="300" w:lineRule="atLeast"/>
        <w:rPr>
          <w:rFonts w:ascii="Arial" w:hAnsi="Arial" w:cs="Arial"/>
          <w:color w:val="172938"/>
          <w:sz w:val="23"/>
          <w:szCs w:val="23"/>
        </w:rPr>
      </w:pPr>
      <w:r>
        <w:rPr>
          <w:rFonts w:ascii="Arial" w:hAnsi="Arial" w:cs="Arial"/>
          <w:b/>
          <w:bCs/>
          <w:color w:val="172938"/>
          <w:sz w:val="23"/>
          <w:szCs w:val="23"/>
        </w:rPr>
        <w:t>Ano:</w:t>
      </w:r>
      <w:r>
        <w:rPr>
          <w:rStyle w:val="apple-converted-space"/>
          <w:rFonts w:ascii="Arial" w:hAnsi="Arial" w:cs="Arial"/>
          <w:b/>
          <w:bCs/>
          <w:color w:val="172938"/>
          <w:sz w:val="23"/>
          <w:szCs w:val="23"/>
        </w:rPr>
        <w:t> </w:t>
      </w:r>
      <w:r>
        <w:rPr>
          <w:rFonts w:ascii="Arial" w:hAnsi="Arial" w:cs="Arial"/>
          <w:color w:val="172938"/>
          <w:sz w:val="23"/>
          <w:szCs w:val="23"/>
        </w:rPr>
        <w:t>2016</w:t>
      </w:r>
    </w:p>
    <w:p w:rsidR="00E1518C" w:rsidRDefault="00E1518C" w:rsidP="00E1518C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Resumo:</w:t>
      </w:r>
    </w:p>
    <w:p w:rsidR="00E1518C" w:rsidRDefault="00E1518C" w:rsidP="00E151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172938"/>
          <w:sz w:val="20"/>
          <w:szCs w:val="20"/>
        </w:rPr>
      </w:pPr>
      <w:bookmarkStart w:id="0" w:name="_GoBack"/>
      <w:proofErr w:type="gramStart"/>
      <w:r>
        <w:rPr>
          <w:rFonts w:ascii="Arial" w:hAnsi="Arial" w:cs="Arial"/>
          <w:color w:val="172938"/>
          <w:sz w:val="20"/>
          <w:szCs w:val="20"/>
        </w:rPr>
        <w:t>Anvisa</w:t>
      </w:r>
      <w:proofErr w:type="gramEnd"/>
      <w:r>
        <w:rPr>
          <w:rFonts w:ascii="Arial" w:hAnsi="Arial" w:cs="Arial"/>
          <w:color w:val="172938"/>
          <w:sz w:val="20"/>
          <w:szCs w:val="20"/>
        </w:rPr>
        <w:t xml:space="preserve"> alerta para o risco de troca de frascos do cloreto de potássio injetável e fornece orientações para prevenir erros de administração.</w:t>
      </w:r>
    </w:p>
    <w:bookmarkEnd w:id="0"/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Identificação do produto ou caso:</w:t>
      </w:r>
    </w:p>
    <w:p w:rsidR="00E1518C" w:rsidRDefault="00E1518C" w:rsidP="00E151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Cloreto de potássio injetável.</w:t>
      </w: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Problema:</w:t>
      </w:r>
    </w:p>
    <w:p w:rsidR="00E1518C" w:rsidRDefault="00E1518C" w:rsidP="00E1518C">
      <w:pPr>
        <w:pStyle w:val="Ttulo1"/>
        <w:shd w:val="clear" w:color="auto" w:fill="FFFFFF"/>
        <w:spacing w:before="150" w:after="150" w:line="600" w:lineRule="atLeast"/>
        <w:rPr>
          <w:rFonts w:ascii="inherit" w:hAnsi="inherit" w:cs="Arial"/>
          <w:color w:val="172938"/>
          <w:sz w:val="58"/>
          <w:szCs w:val="58"/>
        </w:rPr>
      </w:pPr>
      <w:r>
        <w:rPr>
          <w:rStyle w:val="Forte"/>
          <w:rFonts w:ascii="inherit" w:hAnsi="inherit" w:cs="Arial"/>
          <w:b/>
          <w:bCs/>
          <w:color w:val="172938"/>
          <w:sz w:val="33"/>
          <w:szCs w:val="33"/>
        </w:rPr>
        <w:t>Risco de troca de frascos de cloreto de potássio injetável – Orientações para prevenir erros de administração</w:t>
      </w:r>
    </w:p>
    <w:p w:rsidR="00E1518C" w:rsidRDefault="00E1518C" w:rsidP="00E151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33"/>
          <w:szCs w:val="33"/>
        </w:rPr>
        <w:t>26/08/2016</w:t>
      </w:r>
    </w:p>
    <w:p w:rsidR="00E1518C" w:rsidRDefault="00E1518C" w:rsidP="00E1518C">
      <w:pPr>
        <w:pStyle w:val="Ttulo1"/>
        <w:shd w:val="clear" w:color="auto" w:fill="FFFFFF"/>
        <w:spacing w:before="150" w:after="150" w:line="600" w:lineRule="atLeast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58"/>
          <w:szCs w:val="58"/>
        </w:rPr>
        <w:t> </w:t>
      </w:r>
    </w:p>
    <w:p w:rsidR="00E1518C" w:rsidRDefault="00E1518C" w:rsidP="00E1518C">
      <w:pPr>
        <w:pStyle w:val="Ttulo1"/>
        <w:shd w:val="clear" w:color="auto" w:fill="FFFFFF"/>
        <w:spacing w:before="150" w:after="150" w:line="600" w:lineRule="atLeast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24"/>
          <w:szCs w:val="24"/>
        </w:rPr>
        <w:t xml:space="preserve">A </w:t>
      </w:r>
      <w:proofErr w:type="gramStart"/>
      <w:r>
        <w:rPr>
          <w:rFonts w:ascii="inherit" w:hAnsi="inherit" w:cs="Arial"/>
          <w:color w:val="172938"/>
          <w:sz w:val="24"/>
          <w:szCs w:val="24"/>
        </w:rPr>
        <w:t>Anvisa</w:t>
      </w:r>
      <w:proofErr w:type="gramEnd"/>
      <w:r>
        <w:rPr>
          <w:rFonts w:ascii="inherit" w:hAnsi="inherit" w:cs="Arial"/>
          <w:color w:val="172938"/>
          <w:sz w:val="24"/>
          <w:szCs w:val="24"/>
        </w:rPr>
        <w:t xml:space="preserve"> recebeu alguns relatos de trocas de ampolas de cloreto de potássio injetável ocasionando, dessa forma, a administração da concentração incorreta do medicamento aos pacientes. O erro de administração do cloreto de potássio em suas diferentes concentrações pode resultar em reações adversas graves e até mesmo causar a morte do paciente. Com o intuito de promover a segurança do uso do medicamento, a Gerência de </w:t>
      </w:r>
      <w:proofErr w:type="spellStart"/>
      <w:r>
        <w:rPr>
          <w:rFonts w:ascii="inherit" w:hAnsi="inherit" w:cs="Arial"/>
          <w:color w:val="172938"/>
          <w:sz w:val="24"/>
          <w:szCs w:val="24"/>
        </w:rPr>
        <w:t>Farmacovigilância</w:t>
      </w:r>
      <w:proofErr w:type="spellEnd"/>
      <w:r>
        <w:rPr>
          <w:rFonts w:ascii="inherit" w:hAnsi="inherit" w:cs="Arial"/>
          <w:color w:val="172938"/>
          <w:sz w:val="24"/>
          <w:szCs w:val="24"/>
        </w:rPr>
        <w:t xml:space="preserve"> vem também, reforçar o alerta publicado pelo instituto para Práticas Seguras no Uso de Medicamento – ISMP, disponível em</w:t>
      </w:r>
      <w:r>
        <w:rPr>
          <w:rStyle w:val="apple-converted-space"/>
          <w:rFonts w:ascii="inherit" w:hAnsi="inherit" w:cs="Arial"/>
          <w:color w:val="172938"/>
          <w:sz w:val="24"/>
          <w:szCs w:val="24"/>
        </w:rPr>
        <w:t> </w:t>
      </w:r>
      <w:hyperlink r:id="rId6" w:history="1">
        <w:r>
          <w:rPr>
            <w:rStyle w:val="Hyperlink"/>
            <w:rFonts w:ascii="inherit" w:hAnsi="inherit" w:cs="Arial"/>
            <w:color w:val="2C67CD"/>
            <w:sz w:val="24"/>
            <w:szCs w:val="24"/>
            <w:u w:val="none"/>
          </w:rPr>
          <w:t>http://www.ismp-brasil.org/site/wp-content/uploads/2016/08/Alerta-KCl_FINAL.jpg</w:t>
        </w:r>
      </w:hyperlink>
      <w:r>
        <w:rPr>
          <w:rFonts w:ascii="inherit" w:hAnsi="inherit" w:cs="Arial"/>
          <w:color w:val="172938"/>
          <w:sz w:val="24"/>
          <w:szCs w:val="24"/>
        </w:rPr>
        <w:t>.</w:t>
      </w:r>
    </w:p>
    <w:p w:rsidR="00E1518C" w:rsidRDefault="00E1518C" w:rsidP="00E1518C">
      <w:pPr>
        <w:pStyle w:val="Ttulo1"/>
        <w:shd w:val="clear" w:color="auto" w:fill="FFFFFF"/>
        <w:spacing w:before="150" w:after="150" w:line="600" w:lineRule="atLeast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58"/>
          <w:szCs w:val="58"/>
        </w:rPr>
        <w:t> </w:t>
      </w: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lastRenderedPageBreak/>
        <w:t>Ação:</w:t>
      </w: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Histórico:</w:t>
      </w: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Recomendações:</w:t>
      </w:r>
    </w:p>
    <w:p w:rsidR="00E1518C" w:rsidRDefault="00E1518C" w:rsidP="00E1518C">
      <w:pPr>
        <w:pStyle w:val="Ttulo1"/>
        <w:shd w:val="clear" w:color="auto" w:fill="FFFFFF"/>
        <w:spacing w:before="150" w:after="150" w:line="600" w:lineRule="atLeast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24"/>
          <w:szCs w:val="24"/>
        </w:rPr>
        <w:t xml:space="preserve">A </w:t>
      </w:r>
      <w:proofErr w:type="gramStart"/>
      <w:r>
        <w:rPr>
          <w:rFonts w:ascii="inherit" w:hAnsi="inherit" w:cs="Arial"/>
          <w:color w:val="172938"/>
          <w:sz w:val="24"/>
          <w:szCs w:val="24"/>
        </w:rPr>
        <w:t>implementação</w:t>
      </w:r>
      <w:proofErr w:type="gramEnd"/>
      <w:r>
        <w:rPr>
          <w:rFonts w:ascii="inherit" w:hAnsi="inherit" w:cs="Arial"/>
          <w:color w:val="172938"/>
          <w:sz w:val="24"/>
          <w:szCs w:val="24"/>
        </w:rPr>
        <w:t xml:space="preserve"> de procedimentos para aquisição, armazenamento, distribuição, dispensação, prescrição e administração podem contribuir para a minimização dos erros de medicação envolvendo o cloreto de potássio injetável em suas diferentes concentrações. Além disso, alguns cuidados devem ser seguidos para administração de forma segura do cloreto de potássio injetável:</w:t>
      </w:r>
    </w:p>
    <w:p w:rsidR="00E1518C" w:rsidRDefault="00E1518C" w:rsidP="00E1518C">
      <w:pPr>
        <w:pStyle w:val="Ttulo1"/>
        <w:keepNext w:val="0"/>
        <w:keepLines w:val="0"/>
        <w:numPr>
          <w:ilvl w:val="0"/>
          <w:numId w:val="1"/>
        </w:numPr>
        <w:shd w:val="clear" w:color="auto" w:fill="FFFFFF"/>
        <w:spacing w:before="150" w:after="150" w:line="600" w:lineRule="atLeast"/>
        <w:ind w:left="375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24"/>
          <w:szCs w:val="24"/>
        </w:rPr>
        <w:t>Somente utilizá-lo pela via intravenosa e com a individualização adequada da dose;</w:t>
      </w:r>
    </w:p>
    <w:p w:rsidR="00E1518C" w:rsidRDefault="00E1518C" w:rsidP="00E1518C">
      <w:pPr>
        <w:pStyle w:val="Ttulo1"/>
        <w:keepNext w:val="0"/>
        <w:keepLines w:val="0"/>
        <w:numPr>
          <w:ilvl w:val="0"/>
          <w:numId w:val="1"/>
        </w:numPr>
        <w:shd w:val="clear" w:color="auto" w:fill="FFFFFF"/>
        <w:spacing w:before="150" w:after="150" w:line="600" w:lineRule="atLeast"/>
        <w:ind w:left="375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24"/>
          <w:szCs w:val="24"/>
        </w:rPr>
        <w:t>Não misturar diferentes medicamentos;</w:t>
      </w:r>
    </w:p>
    <w:p w:rsidR="00E1518C" w:rsidRDefault="00E1518C" w:rsidP="00E1518C">
      <w:pPr>
        <w:pStyle w:val="Ttulo1"/>
        <w:keepNext w:val="0"/>
        <w:keepLines w:val="0"/>
        <w:numPr>
          <w:ilvl w:val="0"/>
          <w:numId w:val="1"/>
        </w:numPr>
        <w:shd w:val="clear" w:color="auto" w:fill="FFFFFF"/>
        <w:spacing w:before="150" w:after="150" w:line="600" w:lineRule="atLeast"/>
        <w:ind w:left="375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24"/>
          <w:szCs w:val="24"/>
        </w:rPr>
        <w:t>Conferir atentamente o rótulo do medicamento e verificar a concentração do medicamento antes da administração ao paciente;</w:t>
      </w:r>
    </w:p>
    <w:p w:rsidR="00E1518C" w:rsidRDefault="00E1518C" w:rsidP="00E1518C">
      <w:pPr>
        <w:pStyle w:val="Ttulo1"/>
        <w:keepNext w:val="0"/>
        <w:keepLines w:val="0"/>
        <w:numPr>
          <w:ilvl w:val="0"/>
          <w:numId w:val="1"/>
        </w:numPr>
        <w:shd w:val="clear" w:color="auto" w:fill="FFFFFF"/>
        <w:spacing w:before="150" w:after="150" w:line="600" w:lineRule="atLeast"/>
        <w:ind w:left="375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24"/>
          <w:szCs w:val="24"/>
        </w:rPr>
        <w:t>Infundir com diluição prévia, conforme orientação médica. A infusão direta da solução de cloreto de potássio pode causar a morte do paciente;</w:t>
      </w:r>
    </w:p>
    <w:p w:rsidR="00E1518C" w:rsidRDefault="00E1518C" w:rsidP="00E1518C">
      <w:pPr>
        <w:pStyle w:val="Ttulo1"/>
        <w:keepNext w:val="0"/>
        <w:keepLines w:val="0"/>
        <w:numPr>
          <w:ilvl w:val="0"/>
          <w:numId w:val="1"/>
        </w:numPr>
        <w:shd w:val="clear" w:color="auto" w:fill="FFFFFF"/>
        <w:spacing w:before="150" w:after="150" w:line="600" w:lineRule="atLeast"/>
        <w:ind w:left="375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24"/>
          <w:szCs w:val="24"/>
        </w:rPr>
        <w:t>A velocidade de infusão deve ser lenta.</w:t>
      </w:r>
    </w:p>
    <w:p w:rsidR="00E1518C" w:rsidRDefault="00E1518C" w:rsidP="00E1518C">
      <w:pPr>
        <w:pStyle w:val="Ttulo1"/>
        <w:shd w:val="clear" w:color="auto" w:fill="FFFFFF"/>
        <w:spacing w:before="150" w:after="150" w:line="600" w:lineRule="atLeast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24"/>
          <w:szCs w:val="24"/>
        </w:rPr>
        <w:t xml:space="preserve">Erros de medicação, com ou sem danos ao paciente, e reações adversas relacionadas ao uso de medicamentos devem ser comunicados à </w:t>
      </w:r>
      <w:proofErr w:type="gramStart"/>
      <w:r>
        <w:rPr>
          <w:rFonts w:ascii="inherit" w:hAnsi="inherit" w:cs="Arial"/>
          <w:color w:val="172938"/>
          <w:sz w:val="24"/>
          <w:szCs w:val="24"/>
        </w:rPr>
        <w:t>Anvisa</w:t>
      </w:r>
      <w:proofErr w:type="gramEnd"/>
      <w:r>
        <w:rPr>
          <w:rFonts w:ascii="inherit" w:hAnsi="inherit" w:cs="Arial"/>
          <w:color w:val="172938"/>
          <w:sz w:val="24"/>
          <w:szCs w:val="24"/>
        </w:rPr>
        <w:t xml:space="preserve"> e para isso basta acessar o link </w:t>
      </w:r>
      <w:hyperlink r:id="rId7" w:history="1">
        <w:r>
          <w:rPr>
            <w:rStyle w:val="Hyperlink"/>
            <w:rFonts w:ascii="inherit" w:hAnsi="inherit" w:cs="Arial"/>
            <w:color w:val="2C67CD"/>
            <w:sz w:val="24"/>
            <w:szCs w:val="24"/>
            <w:u w:val="none"/>
          </w:rPr>
          <w:t>http://www.anvisa.gov.br/hotsite/notivisa/index.htm</w:t>
        </w:r>
      </w:hyperlink>
      <w:r>
        <w:rPr>
          <w:rFonts w:ascii="inherit" w:hAnsi="inherit" w:cs="Arial"/>
          <w:color w:val="172938"/>
          <w:sz w:val="24"/>
          <w:szCs w:val="24"/>
        </w:rPr>
        <w:t> e registrar o seu relato.</w:t>
      </w: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lastRenderedPageBreak/>
        <w:t>Anexos:</w:t>
      </w:r>
    </w:p>
    <w:p w:rsidR="00E1518C" w:rsidRDefault="00E1518C" w:rsidP="00E151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172938"/>
          <w:sz w:val="20"/>
          <w:szCs w:val="20"/>
        </w:rPr>
      </w:pPr>
      <w:hyperlink r:id="rId8" w:tgtFrame="_blank" w:history="1">
        <w:r>
          <w:rPr>
            <w:rFonts w:ascii="Arial" w:hAnsi="Arial" w:cs="Arial"/>
            <w:color w:val="2C67CD"/>
            <w:sz w:val="20"/>
            <w:szCs w:val="20"/>
          </w:rPr>
          <w:br/>
        </w:r>
      </w:hyperlink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inherit" w:hAnsi="inherit" w:cs="Arial"/>
          <w:color w:val="172938"/>
          <w:sz w:val="26"/>
          <w:szCs w:val="26"/>
        </w:rPr>
      </w:pPr>
      <w:r>
        <w:rPr>
          <w:rFonts w:ascii="inherit" w:hAnsi="inherit" w:cs="Arial"/>
          <w:color w:val="172938"/>
          <w:sz w:val="26"/>
          <w:szCs w:val="26"/>
        </w:rPr>
        <w:t>Referências:</w:t>
      </w: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</w:p>
    <w:p w:rsidR="00E1518C" w:rsidRDefault="00E1518C" w:rsidP="00E1518C">
      <w:pPr>
        <w:shd w:val="clear" w:color="auto" w:fill="FFFFFF"/>
        <w:spacing w:line="300" w:lineRule="atLeast"/>
        <w:rPr>
          <w:rFonts w:ascii="Arial" w:hAnsi="Arial" w:cs="Arial"/>
          <w:color w:val="172938"/>
          <w:sz w:val="20"/>
          <w:szCs w:val="20"/>
        </w:rPr>
      </w:pPr>
      <w:r>
        <w:rPr>
          <w:rStyle w:val="metadata-entry"/>
          <w:rFonts w:ascii="Arial" w:hAnsi="Arial" w:cs="Arial"/>
          <w:color w:val="999999"/>
          <w:sz w:val="20"/>
          <w:szCs w:val="20"/>
        </w:rPr>
        <w:t>26/08/16</w:t>
      </w:r>
      <w:hyperlink r:id="rId9" w:history="1">
        <w:r>
          <w:rPr>
            <w:rStyle w:val="Hyperlink"/>
            <w:rFonts w:ascii="Arial" w:hAnsi="Arial" w:cs="Arial"/>
            <w:color w:val="2C67CD"/>
            <w:sz w:val="20"/>
            <w:szCs w:val="20"/>
            <w:u w:val="none"/>
          </w:rPr>
          <w:t>farmacovigilância</w:t>
        </w:r>
      </w:hyperlink>
      <w:r>
        <w:rPr>
          <w:rStyle w:val="apple-converted-space"/>
          <w:rFonts w:ascii="Arial" w:hAnsi="Arial" w:cs="Arial"/>
          <w:color w:val="999999"/>
          <w:sz w:val="20"/>
          <w:szCs w:val="20"/>
        </w:rPr>
        <w:t> </w:t>
      </w:r>
      <w:hyperlink r:id="rId10" w:history="1">
        <w:r>
          <w:rPr>
            <w:rStyle w:val="Hyperlink"/>
            <w:rFonts w:ascii="Arial" w:hAnsi="Arial" w:cs="Arial"/>
            <w:color w:val="2C67CD"/>
            <w:sz w:val="20"/>
            <w:szCs w:val="20"/>
            <w:u w:val="none"/>
          </w:rPr>
          <w:t>risco de troca de frascos</w:t>
        </w:r>
      </w:hyperlink>
      <w:r>
        <w:rPr>
          <w:rStyle w:val="apple-converted-space"/>
          <w:rFonts w:ascii="Arial" w:hAnsi="Arial" w:cs="Arial"/>
          <w:color w:val="999999"/>
          <w:sz w:val="20"/>
          <w:szCs w:val="20"/>
        </w:rPr>
        <w:t> </w:t>
      </w:r>
      <w:hyperlink r:id="rId11" w:history="1">
        <w:r>
          <w:rPr>
            <w:rStyle w:val="Hyperlink"/>
            <w:rFonts w:ascii="Arial" w:hAnsi="Arial" w:cs="Arial"/>
            <w:color w:val="2C67CD"/>
            <w:sz w:val="20"/>
            <w:szCs w:val="20"/>
            <w:u w:val="none"/>
          </w:rPr>
          <w:t>erro de medicação</w:t>
        </w:r>
      </w:hyperlink>
      <w:r>
        <w:rPr>
          <w:rStyle w:val="apple-converted-space"/>
          <w:rFonts w:ascii="Arial" w:hAnsi="Arial" w:cs="Arial"/>
          <w:color w:val="999999"/>
          <w:sz w:val="20"/>
          <w:szCs w:val="20"/>
        </w:rPr>
        <w:t> </w:t>
      </w:r>
      <w:hyperlink r:id="rId12" w:history="1">
        <w:r>
          <w:rPr>
            <w:rStyle w:val="Hyperlink"/>
            <w:rFonts w:ascii="Arial" w:hAnsi="Arial" w:cs="Arial"/>
            <w:color w:val="2C67CD"/>
            <w:sz w:val="20"/>
            <w:szCs w:val="20"/>
            <w:u w:val="none"/>
          </w:rPr>
          <w:t>erro de administração</w:t>
        </w:r>
      </w:hyperlink>
      <w:r>
        <w:rPr>
          <w:rStyle w:val="apple-converted-space"/>
          <w:rFonts w:ascii="Arial" w:hAnsi="Arial" w:cs="Arial"/>
          <w:color w:val="999999"/>
          <w:sz w:val="20"/>
          <w:szCs w:val="20"/>
        </w:rPr>
        <w:t> </w:t>
      </w:r>
      <w:hyperlink r:id="rId13" w:history="1">
        <w:r>
          <w:rPr>
            <w:rStyle w:val="Hyperlink"/>
            <w:rFonts w:ascii="Arial" w:hAnsi="Arial" w:cs="Arial"/>
            <w:color w:val="2C67CD"/>
            <w:sz w:val="20"/>
            <w:szCs w:val="20"/>
            <w:u w:val="none"/>
          </w:rPr>
          <w:t>cloreto de potássio injetável</w:t>
        </w:r>
      </w:hyperlink>
    </w:p>
    <w:p w:rsidR="007F5BF5" w:rsidRPr="00E1518C" w:rsidRDefault="007F5BF5" w:rsidP="00E1518C"/>
    <w:sectPr w:rsidR="007F5BF5" w:rsidRPr="00E1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5246"/>
    <w:multiLevelType w:val="multilevel"/>
    <w:tmpl w:val="0642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8C"/>
    <w:rsid w:val="007F5BF5"/>
    <w:rsid w:val="00E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5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E15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1518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518C"/>
    <w:rPr>
      <w:b/>
      <w:bCs/>
    </w:rPr>
  </w:style>
  <w:style w:type="character" w:customStyle="1" w:styleId="apple-converted-space">
    <w:name w:val="apple-converted-space"/>
    <w:basedOn w:val="Fontepargpadro"/>
    <w:rsid w:val="00E1518C"/>
  </w:style>
  <w:style w:type="character" w:styleId="nfase">
    <w:name w:val="Emphasis"/>
    <w:basedOn w:val="Fontepargpadro"/>
    <w:uiPriority w:val="20"/>
    <w:qFormat/>
    <w:rsid w:val="00E1518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1518C"/>
    <w:rPr>
      <w:color w:val="0000FF"/>
      <w:u w:val="single"/>
    </w:rPr>
  </w:style>
  <w:style w:type="character" w:customStyle="1" w:styleId="metadata-entry">
    <w:name w:val="metadata-entry"/>
    <w:basedOn w:val="Fontepargpadro"/>
    <w:rsid w:val="00E1518C"/>
  </w:style>
  <w:style w:type="character" w:customStyle="1" w:styleId="taglib-asset-tags-summary">
    <w:name w:val="taglib-asset-tags-summary"/>
    <w:basedOn w:val="Fontepargpadro"/>
    <w:rsid w:val="00E1518C"/>
  </w:style>
  <w:style w:type="character" w:customStyle="1" w:styleId="Ttulo1Char">
    <w:name w:val="Título 1 Char"/>
    <w:basedOn w:val="Fontepargpadro"/>
    <w:link w:val="Ttulo1"/>
    <w:uiPriority w:val="9"/>
    <w:rsid w:val="00E1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5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E15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1518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518C"/>
    <w:rPr>
      <w:b/>
      <w:bCs/>
    </w:rPr>
  </w:style>
  <w:style w:type="character" w:customStyle="1" w:styleId="apple-converted-space">
    <w:name w:val="apple-converted-space"/>
    <w:basedOn w:val="Fontepargpadro"/>
    <w:rsid w:val="00E1518C"/>
  </w:style>
  <w:style w:type="character" w:styleId="nfase">
    <w:name w:val="Emphasis"/>
    <w:basedOn w:val="Fontepargpadro"/>
    <w:uiPriority w:val="20"/>
    <w:qFormat/>
    <w:rsid w:val="00E1518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1518C"/>
    <w:rPr>
      <w:color w:val="0000FF"/>
      <w:u w:val="single"/>
    </w:rPr>
  </w:style>
  <w:style w:type="character" w:customStyle="1" w:styleId="metadata-entry">
    <w:name w:val="metadata-entry"/>
    <w:basedOn w:val="Fontepargpadro"/>
    <w:rsid w:val="00E1518C"/>
  </w:style>
  <w:style w:type="character" w:customStyle="1" w:styleId="taglib-asset-tags-summary">
    <w:name w:val="taglib-asset-tags-summary"/>
    <w:basedOn w:val="Fontepargpadro"/>
    <w:rsid w:val="00E1518C"/>
  </w:style>
  <w:style w:type="character" w:customStyle="1" w:styleId="Ttulo1Char">
    <w:name w:val="Título 1 Char"/>
    <w:basedOn w:val="Fontepargpadro"/>
    <w:link w:val="Ttulo1"/>
    <w:uiPriority w:val="9"/>
    <w:rsid w:val="00E1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40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18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957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5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78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514149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5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79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97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580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informacoes-tecnicas13?p_p_id=101_INSTANCE_FXrpx9qY7FbU&amp;p_p_col_id=column-2&amp;p_p_col_pos=1&amp;p_p_col_count=2&amp;_101_INSTANCE_FXrpx9qY7FbU_groupId=33868&amp;_101_INSTANCE_FXrpx9qY7FbU_urlTitle=cloreto-de-potassio-injetavel-risco-de-troca-de-frascos-&amp;_101_INSTANCE_FXrpx9qY7FbU_struts_action=%2Fasset_publisher%2Fview_content&amp;_101_INSTANCE_FXrpx9qY7FbU_assetEntryId=2954059&amp;_101_INSTANCE_FXrpx9qY7FbU_type=content" TargetMode="External"/><Relationship Id="rId13" Type="http://schemas.openxmlformats.org/officeDocument/2006/relationships/hyperlink" Target="http://portal.anvisa.gov.br/informacoes-tecnicas13?p_p_id=101_INSTANCE_FXrpx9qY7FbU&amp;p_p_lifecycle=0&amp;p_p_state=normal&amp;p_p_mode=view&amp;p_p_col_id=column-2&amp;p_p_col_count=1&amp;p_r_p_564233524_tag=cloreto+de+pot%C3%A1ssio+injet%C3%A1v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visa.gov.br/hotsite/notivisa/index.htm" TargetMode="External"/><Relationship Id="rId12" Type="http://schemas.openxmlformats.org/officeDocument/2006/relationships/hyperlink" Target="http://portal.anvisa.gov.br/informacoes-tecnicas13?p_p_id=101_INSTANCE_FXrpx9qY7FbU&amp;p_p_lifecycle=0&amp;p_p_state=normal&amp;p_p_mode=view&amp;p_p_col_id=column-2&amp;p_p_col_count=1&amp;p_r_p_564233524_tag=erro+de+administra%C3%A7%C3%A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mp-brasil.org/site/wp-content/uploads/2016/08/Alerta-KCl_FINAL.jpg" TargetMode="External"/><Relationship Id="rId11" Type="http://schemas.openxmlformats.org/officeDocument/2006/relationships/hyperlink" Target="http://portal.anvisa.gov.br/informacoes-tecnicas13?p_p_id=101_INSTANCE_FXrpx9qY7FbU&amp;p_p_lifecycle=0&amp;p_p_state=normal&amp;p_p_mode=view&amp;p_p_col_id=column-2&amp;p_p_col_count=1&amp;p_r_p_564233524_tag=erro+de+medica%C3%A7%C3%A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anvisa.gov.br/informacoes-tecnicas13?p_p_id=101_INSTANCE_FXrpx9qY7FbU&amp;p_p_lifecycle=0&amp;p_p_state=normal&amp;p_p_mode=view&amp;p_p_col_id=column-2&amp;p_p_col_count=1&amp;p_r_p_564233524_tag=risco+de+troca+de+fras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informacoes-tecnicas13?p_p_id=101_INSTANCE_FXrpx9qY7FbU&amp;p_p_lifecycle=0&amp;p_p_state=normal&amp;p_p_mode=view&amp;p_p_col_id=column-2&amp;p_p_col_count=1&amp;p_r_p_564233524_tag=farmacovigil%C3%A2nc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1</cp:revision>
  <dcterms:created xsi:type="dcterms:W3CDTF">2016-08-29T15:40:00Z</dcterms:created>
  <dcterms:modified xsi:type="dcterms:W3CDTF">2016-08-29T15:42:00Z</dcterms:modified>
</cp:coreProperties>
</file>